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228</w:t>
      </w:r>
    </w:p>
    <w:p>
      <w:r>
        <w:t>Bundesgericht (BGE), 2000-05-19, DE</w:t>
      </w:r>
    </w:p>
    <w:p>
      <w:r>
        <w:rPr>
          <w:b/>
        </w:rPr>
        <w:t xml:space="preserve">Quelle: </w:t>
      </w:r>
      <w:r>
        <w:t>https://mcp.opencaselaw.ch/entscheid/bge_126 II 228</w:t>
      </w:r>
    </w:p>
    <w:p>
      <w:r>
        <w:t>FR: ATF 126 II 228</w:t>
      </w:r>
    </w:p>
    <w:p>
      <w:r>
        <w:t>IT: DTF 126 II 228</w:t>
      </w:r>
    </w:p>
    <w:p>
      <w:pPr>
        <w:pStyle w:val="Heading2"/>
      </w:pPr>
      <w:r>
        <w:t>Regeste</w:t>
      </w:r>
    </w:p>
    <w:p>
      <w:r>
        <w:t>Regeste Art. 3 Abs. 4 OHG; Anspruch auf Übernahme weiterer Kosten der Opferhilfe. Das Opfer einer im Ausland erlittenen Straftat hat keinen Anspruch auf Übernahme weiterer Kosten gemäss Art. 3 Abs. 4 OHG, wenn es im Tatzeitpunkt keine Beziehung zur Schweiz hatte (E. 2 und 3).</w:t>
      </w:r>
    </w:p>
    <w:p>
      <w:pPr>
        <w:pStyle w:val="Heading2"/>
      </w:pPr>
      <w:r>
        <w:t>Erwägungen</w:t>
      </w:r>
    </w:p>
    <w:p>
      <w:r>
        <w:rPr>
          <w:b/>
        </w:rPr>
        <w:t>E. 2</w:t>
      </w:r>
    </w:p>
    <w:p>
      <w:r>
        <w:t>Mit dem Opferhilfegesetz soll den Opfern von Straftaten wirksame Hilfe geleistet und ihre Rechtsstellung verbessert werden ( Art. 1 Abs. 1 OHG ). Die Hilfe umfasst nach Art. 1 Abs. 2 OHG Beratung (lit. a), Schutz des Opfers und Wahrung seiner Rechte im Strafverfahren (lit. b) sowie Entschädigung und Genugtuung (lit. c). Opfer im Sinne von Art. 2 Abs. 1 OHG ist jede Person, die durch eine Straftat in ihrer körperlichen, sexuellen oder psychischen Integrität unmittelbar beeinträchtigt worden ist, unabhängig davon, ob der Täter ermittelt worden ist und ob er sich schuldhaft verhalten hat. Das Departement des Innern des Kantons Solothurn hat in seiner Verfügung vom 14. April 1999 entschieden, dass Personen nicht als Opfer im Sinne von Art. 2 OHG anerkannt werden und daher keine Beratung gemäss Art. 3 OHG beanspruchen können, wenn sie im Ausland Opfer einer Straftat werden und in diesem Zeitpunkt keinerlei Beziehungen zur Schweiz haben. Der Beschwerdeführer hält dem entgegen, das Verwaltungsgericht habe im angefochtenen Urteil seine Opfereigenschaft bejaht, und er beanstandet allein die Auslegung von Art. 3 Abs. 4 OHG durch die Vorinstanz. Er verkennt, dass das Verwaltungsgericht mit der ersten Instanz den Anwendungsbereich des Opferhilfegesetzes eingeschränkt und ihn daher wegen seiner fehlenden Beziehungen zur Schweiz im Zeitpunkt der Straftat nicht als Opfer im Sinne von Art. 2 OHG anerkannt hat. a)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 BGE 124 III 229 E. 3c S. 235 f.). Dabei ist die Auslegung des Gesetzes zwar nicht entscheidend historisch BGE 126 II 228 S. 231 zu orientieren, im Grundsatz aber dennoch auf die Regelungsabsicht des Gesetzgebers und die damit erkennbar getroffenen Wertentscheidungen zu stützen, da sich die Zweckbezogenheit des rechtsstaatlichen Normverständnisses nicht aus sich selbst begründen lässt, sondern im Sinne der Absichten des Gesetzgebers zu verstehen ist, die es mit Hilfe der herkömmlichen Auslegungselemente zu ermitteln gilt ( BGE 125 II 521 E. 3c/aa S. 525; BGE 121 III 219 E. 1d/aa S. 225). b) Nach dem Wortlaut des mit "Geltungsbereich" überschriebenen Art. 2 Abs. 1 OHG wird die vom Opferhilfegesetz vorgesehene wirksame Hilfe und Verbesserung der Rechtsstellung jeder Person, die durch eine Straftat unmittelbar in ihrer Integrität beeinträchtigt wurde, gewährt. Der Wortlaut von Art. 2 OHG macht den Geltungsbereich des Gesetzes nicht davon abhängig, ob das Opfer oder die Straftat einen Bezug zur Schweiz haben. Der Wortlaut der Bestimmung ist insofern zu weit, als sich der Geltungsbereich des Gesetzes nicht allein aus der materiellen Definition der Opfereigenschaft ergibt. So ist insbesondere der schweizerische Gesetzgeber nicht generell in der Lage, die Rechtsstellung jeder von einer Straftat betroffenen Person zu verbessern, wenn es um deren Rechte im Strafverfahren geht ( Art. 1 Abs. 2 lit. b OHG ). Die Bestimmungen über den Schutz und die Rechte des Opfers im Strafverfahren nach dem 3. Abschnitt des Gesetzes ( Art. 5-10 OHG ) können sich allein auf Straftaten beziehen, die in der Schweiz beurteilt werden, obwohl der Geltungsbereich des Gesetzes nicht ausdrücklich auf in der Schweiz durchgeführte Strafverfahren beschränkt wird (vgl. etwa BGE 126 IV 38 E. 3 S. 40). Für die Ansprüche auf Entschädigung und Genugtuung ( Art. 1 Abs. 2 lit. c OHG ) sodann unterscheidet Art. 11 OHG (vgl. dazu BGE 124 II 507 ) danach, ob die Straftat, die zur unmittelbaren Beeinträchtigung der Integrität einer Person geführt hat, auf schweizerischem Hoheitsgebiet verübt wurde (Abs. 1 und 2) oder ob die Person im Ausland Opfer einer Straftat geworden ist (Abs. 3). In diesem Fall werden die Ansprüche auf Personen beschränkt, welche das Schweizer Bürgerrecht besitzen und Wohnsitz in der Schweiz haben. Dies steht mit Art. 3 des Europäischen Übereinkommens über die Entschädigung für Opfer von Gewalttaten, dessen Ratifizierung der Bundesrat gleichzeitig mit dem Erlass des Opferhilfegesetzes vorschlug (BBl 1990 II S. 1001 f.) im Einklang. Nach dem genannten Europäischen Übereinkommen vom 24. November 1983, das für die Schweiz seit 1. Januar 1993 in Kraft steht (SR 0.312.5), wird die Entschädigung BGE 126 II 228 S. 232 von dem Staat gewährt, in dessen Hoheitsgebiet die Straftat begangen worden ist, und sie ist den Staatsangehörigen der Mitgliedstaaten vorbehalten, welche die Konvention ratifizieren, sowie den in diesen Staaten niedergelassenen Staatsangehörigen der Mitgliedstaaten des Europarats (Art. 3 des Übereinkommens). Auch in Bezug auf die Ansprüche auf Entschädigung und Genugtuung ist somit die Definition in Art. 2 OHG zu weit; die Opfereigenschaft wird hier gemäss Art. 11 OHG allein Personen zuerkannt, welche entweder von einer im Inland verübten Straftat in ihrer Integrität betroffen sind oder die schweizerische Staatsbürgerschaft besitzen und in der Schweiz Wohnsitz haben. Es ist zu prüfen, ob die unter dem Titel der Beratung von den Kantonen zu gewährleistende wirksame Hilfe nach Sinn und Zweck der Opferhilfe und den dem Gesetz zugrunde liegenden Wertungen nicht ebenfalls Einschränkungen unterliegt, welche im Wortlaut von Art. 2 OHG nicht zum Ausdruck kommen. c) Das Opferhilfegesetz verpflichtet die Kantone unter dem Titel "Beratung" in Art. 3 OHG , für fachlich selbständige öffentliche oder private Beratungsstellen zu sorgen. Diese Beratungsstellen haben insbesondere zur Aufgabe, den Opfern medizinische, psychologische, soziale, materielle und juristische Hilfe zu leisten oder zu vermitteln ( Art. 3 Abs. 2 lit. a OHG ) sowie über die Hilfe an Opfer zu informieren ( Art. 3 Abs. 2 lit. b OHG ). Die Beratungsstellen leisten ihre Hilfe sofort und, wenn nötig, während längerer Zeit. Sie müssen so organisiert sein, dass sie jederzeit Soforthilfe leisten können ( Art. 3 Abs. 3 OHG ). Die Leistungen der Beratungsstellen und die Soforthilfe Dritter sind unentgeltlich. Die Beratungsstellen übernehmen weitere Kosten, wie Arzt-, Anwalts- oder Verfahrenskosten, soweit dies aufgrund der persönlichen Verhältnisse des Opfers angezeigt ist ( Art. 3 Abs. 4 OHG ). Die Opfer können sich an eine Beratungsstelle ihrer Wahl wenden ( Art. 3 Abs. 5 OHG ). aa) Die Art der umfassenden Hilfe, welche die von den Kantonen bereitzustellenden Beratungsstellen zu leisten haben, geht zum Teil über die blosse Beratung der Opfer deutlich hinaus. Sie besteht, wie sich schon aus der Zweckbestimmung des Art. 1 OHG ergibt, in einem vielseitigen und umfassenden Hilfsangebot zugunsten der Opfer und soll diese in der Überwindung von materiellen, physischen, psychischen, gesellschaftlichen und rechtlichen Schwierigkeiten unterstützen (Botschaft des Bundesrates zu einem Bundesgesetz über die Hilfe an Opfer von Straftaten [Opferhilfegesetz, OHG] und einem Bundesgesetz über das Europäische Übereinkommen BGE 126 II 228 S. 233 über die Entschädigung für Opfer von Gewalttaten vom 25. April 1990 in BBl 1990 II 961, 977 f.; GOMM/STEIN/ZEHNTNER, Kommentar zum Opferhilfegesetz 1995, N. 16-24 zu Art. 3). Sie umfasst zwei Phasen und besteht in der Soforthilfe einerseits und in längerfristigen Massnahmen andererseits. Die Soforthilfe soll rasch wirksam werden und dem Opfer diejenige Hilfe verschaffen, die zur Bewältigung der unmittelbaren Folgen der Straftat notwendig ist; die längerfristigen Massnahmen dienen hingegen der Verarbeitung der Erlebnisse durch das Opfer, wozu insbesondere auch die Beratung und Hilfe in prozessualen Fragen sowie in Fragen der Versicherung und der materiellen Entschädigung gehört. Im Übrigen soll in dieser zweiten Phase eine umfassende Sanierung der Lage des Opfers sowie Lebenshilfe und Laufbahnberatung angeboten werden (Botschaft des Bundesrats, a.a.O., BBl 1990 II 978 f.). Nach den Erläuterungen in der Botschaft wird somit die längerfristige Hilfe für Opfer als zweite Phase der Soforthilfe betrachtet, welche von der ersten Phase qualitativ nicht derart unterschieden wird, dass sie Opfern von Straftaten zu gewähren wäre, welche keinen Anspruch auf Soforthilfe der ersten Phase hatten. bb) Der Anspruch auf Beratung und insbesondere auf Kostenübernahme durch die Beratungsstelle gemäss Art. 3 Abs. 4 OHG ist nach dem Wortlaut der Bestimmung weder vom Wohnsitz oder der Nationalität des Opfers noch vom Begehungs- und Erfolgsort der Straftat abhängig. Das Bundesgericht hat nach Sinn und Zweck der Anspruchsberechtigung darauf abgestellt, ob die Hilfe in der Schweiz benötigt wird; es hat daher den im Ausland lebenden Angehörigen einer Person, welche in Deutschland bei einem Autounfall ums Leben gekommen war, gestützt auf Art. 3 Abs. 4 OHG Kostengutsprache für juristische Hilfe in Versicherungsfragen zugesprochen ( BGE 122 II 315 E. 2 S. 318). Die im Ausland getötete Person hatte im Zeitpunkt des Unfalls Wohnsitz in der Schweiz und wurde als Opfer im Sinne von Art. 2 Abs. 1 OHG anerkannt ( BGE 122 II 315 E. 5 S. 324). Es stellt sich hier die Frage, ob für den Anspruch auf Beratung und insbesondere auf Übernahme weiterer Kosten gemäss Art. 3 Abs. 4 OHG nach Sinn und Zweck des Opferhilfegesetzes die Notwendigkeit der Hilfe in der Schweiz im Zeitpunkt des Gesuchs genügt oder ob es weiterer Voraussetzungen bedarf. Dabei ist davon auszugehen, dass die weiteren Kosten gemäss Art. 3 Abs. 4 OHG zur Wiederherstellung der Integrität des Opfers wie Arzt-, Anwalts- oder Verfahrenskosten sachlich zum Schaden gehören, den das Opfer durch die Straftat erleidet und zu BGE 126 II 228 S. 234 dessen Ersatz nach Art. 41 OR grundsätzlich der Täter verpflichtet ist, wovon auch der Bundesrat in der Botschaft ausgeht (BBl 1990 II 979). Diese Kosten können auch mit der Entschädigung im Sinne von Art. 12 OHG abgegolten werden (vgl. BGE 125 II 230 E. 2d S. 234), wenn die einschränkenden gesetzlichen Voraussetzungen dafür vorliegen, wobei gemäss Art. 15 OHG aufgrund einer summarischen Prüfung des Entschädigungsgesuchs ein Vorschuss gewährt werden kann (vgl. BGE 121 II 116 E. 2a S. 120). d) Die Opferhilfe insgesamt erscheint in ihrer Entstehung wie in ihrem Anliegen und ihrer Ausgestaltung zunächst als Korrelat zu dem auf den Täter bezogenen Strafrecht (vgl. EVA WEISHAUPT, Die verfahrensrechtlichen Bestimmungen des Opferhilfegesetzes, Zürich 1998, S. 3 ff.). Dies ergibt sich zunächst aus dem Anliegen der Volksinitiative, auf welche Art. 124 BV bzw. Art. 64ter aBV zurückgeht und auf den sich das OHG stützt. Die Initiative beruhte auf dem Gedanken, dass sich das Gemeinwesen traditionell vorwiegend für die Straftäter interessierte, während es an der Zeit sei, dass sich die Öffentlichkeit auch des Schicksals der Opfer annehme (Botschaft zur Volksinitiative "zur Entschädigung der Opfer von Gewaltverbrechen" vom 6. Juli 1983, BBl 1983 III 869, 872 f.). Zudem ergibt es sich aus der Botschaft des Bundesrats zu dieser Initiative und zum Gegenvorschlag, der in der Verfassungsbestimmung von Volk und Ständen am 2. Dezember 1984 angenommen wurde, dass als nötig angesehen wurde, das Ungleichheitgewicht - welches durch das staatliche Interesse vor allem für die Täter entstanden ist - abzubauen und dass sich der Staat auch mit der Person und den Anliegen des Opfers befasst (BBl 1983 III 889). Dabei gründet die Hilfe für die Opfer von Gewaltverbrechen nach dem schliesslich als Art. 64ter aBV angenommenen Gegenvorschlag in der Sorge um soziale Gerechtigkeit und Billigkeit und wird als Akt der Solidarität dargestellt, den die Gemeinschaft zugunsten ihrer schuldlos von Unrecht betroffenen Mitglieder leistet (BBl 1983 III 887). Der Kreis der Begünstigten soll nach der Botschaft grosszügig ausgelegt werden; damit eine Person Hilfe beanspruchen könne, müsse sie nicht notwendigerweise Opfer einer Straftat im strengen Sinne geworden sein; insbesondere sei die Hilfe nicht davon abhängig zu machen, dass der Täter zurechnungsfähig sei oder auch nur ermittelt werden könne (BBl 1983 III 894). e) Der Solidaritätsgedanke, auf dem das Opferhilfegesetz beruht, kann nicht mit der allgemeinen Sozialhilfe gleichgesetzt werden, sondern er ist auf Opfer von Straftaten beschränkt, wobei vom Verständnis BGE 126 II 228 S. 235 der Straftatbestände nach dem Strafgesetzbuch auszugehen ist (vgl. BGE 122 II 211 E. 3b S. 215). Der Straftat als Ursache der Hilfsbedürftigkeit kommt nach Sinn und Zweck der Opferhilfe auch für die Begrenzung des Kreises der Hilfeberechtigten wesentliche Bedeutung zu. Die Opferhilfe knüpft insofern grundsätzlich an eine Straftat an (vgl. Art. 5 ff. OHG ), zu deren Beurteilung die schweizerischen Strafbehörden zuständig sind, auch wenn in der Folge das Opfer und dessen Beeinträchtigung im Zentrum stehen. Auf der Hoheit über das Gebiet, in welchem die Straftat begangen worden ist, beruht auch das Europäische Übereinkommen über die Entschädigung für Opfer von Gewalttaten (Ingress sowie Art. 3 des Übereinkommens), auf welches der Bundesrat in der Botschaft ebenfalls Bezug nimmt (BBl 1983 III 885 f.). In den Materialien zum Opferhilfegesetz finden sich denn auch keine Anhaltspunkte dafür, dass nicht primär an Opfer von in der Schweiz begangenen Straftaten gedacht wurde. Die angestrebte Grosszügigkeit des Hilfsangebots wurde auf Straftaten bezogen, welche nicht sämtliche Tatbestandsmerkmale des schweizerischen Strafgesetzbuches erfüllen (vorne E. 2d). Auf die im Vorentwurf unter anderem in Aussicht genommene örtliche Zuständigkeit der Beratungsstelle am Tatort (BBl 1990 II 980) wurde in Art. 3 Abs. 5 OHG nicht etwa deshalb verzichtet, weil die Opferhilfe im Sinne der Beratung gemäss Art. 3 OHG auch für im Ausland begangene Straftaten geöffnet werden sollte. Vielmehr ging es darum, die Bedürfnisse sowohl nach der Person des Opfers wie nach der Art der zu leistenden Hilfe unterscheiden zu können und dem Opfer eine Hilfe ausserhalb seines Wohnorts namentlich bei Sexualdelikten anzubieten, wenn diese von Angehörigen oder Bekannten begangen wurden (BBl 1990 II 980). Die Hilfe für Opfer von im Ausland begangenen Straftaten, wie sie in Art. 11 Abs. 3 OHG unter einschränkenden Voraussetzungen vorgesehen ist, erscheint als Erweiterung einer grundsätzlich an die Strafhoheit schweizerischer Behörden anknüpfenden Opferhilfeleistung. Es bestehen aufgrund der Materialien keinerlei Anhaltspunkte dafür, dass allein und ausschliesslich die Hilfsbedürftigkeit eines Opfers einer im Ausland begangenen Straftat den Anspruch auf die umfassende Hilfe begründen könnte, zu welcher die Kantone in Art. 3 OHG unter dem Titel der Beratung verpflichtet sind. f) Eine von diesen Ausführungen abweichende Meinung vertritt das Bundesamt für Justiz in VPB 58/1994 Nr. 65 S. 514 ff. E. 4 und 5. Nach dessen Auffassung soll sich aus der Zielsetzung der Opferhilfe ergeben, dass alle in der Schweiz lebenden Opfer von Straftaten BGE 126 II 228 S. 236 Anspruch auf längerfristige Beratung im Sinne von Art. 3 OHG haben, auch wenn die Tat im Ausland begangen worden ist und das Opfer erst nachträglich in die Schweiz eingereist ist (z.B. gefolterte Asylbewerber). Dieser Auffassung des Bundesamts kann aufgrund der in E. 2e vorgenommenen Auslegung von Art. 3 OHG nicht gefolgt werden. Als Mindestvoraussetzung für die Inanspruchnahme von Opferhilfeleistungen gemäss Art. 3 OHG erscheint es erforderlich, dass ein Opfer im Zeitpunkt der im Ausland begangenen Straftat, auf welche der Anspruch auf Beratung gestützt wird, eine hinreichende Beziehung zur Schweiz unterhielt. Auch in der Literatur wird die Ansicht vertreten, die Straftat müsse Wirkungen in der Schweiz entfalten und das schweizerische oder ausländische Opfer eine Verbindung mit der Schweiz haben (vgl. BLAISE KNAPP, Kommentar zur BV 1874, N. 20 zu Art. 64ter). Die Opfereigenschaft gemäss Art. 2 Abs. 1 OHG ist nach dieser Ansicht ebenfalls nicht allein von den in diesem Artikel wörtlich umschriebenen S-achvoraussetzungen abhängig (vgl. dazu BGE 122 II 211 E. 3 S. 214; BGE 122 IV 71 E. 3 S. 76; BGE 120 Ia 101 E. 1b). Vielmehr bedarf es auch für den Anspruch auf Beratung gemäss Art. 3 OHG einer Beziehung zur Schweiz, welche über die blosse Hilfsbedürftigkeit des Gesuchstellers im Zeitpunkt der Einreichung des Gesuchs hinaus geht, wenn die Straftat nicht in der Schweiz begangen wurde. Aufgrund der umfassenden Hilfeleistungen, die nach Art. 3 OHG dem Opfer sofort im Anschluss an die Straftat angeboten werden sollen und soweit nötig anschliessend länger gewährt werden, ist in diesem Fall in der Regel erforderlich, dass die durch eine im Ausland erlittene Straftat unmittelbar in ihrer Integrität beeinträchtigte Person im Zeitpunkt der Tat ihren Wohnsitz in der Schweiz hatte, um die Leistungen der kantonalen Beratungsstellen beanspruchen zu können. Dies traf denn auch für das tödlich verunfallte Opfer in BGE 122 II 315 zu. Ob daneben unter Umständen für gewisse Arten von Hilfeleistungen andere persönliche Beziehungen des Opfers zur Schweiz wie z.B. die Staatsangehörigkeit in Betracht fallen, kann vorliegend offen bleiben. Jedenfalls bedarf es bei einer im Ausland erlittenen Straftat für den Anspruch auf Opferhilfe im Sinne von Art. 3 OHG einer persönlichen Beziehung des Opfers zur Schweiz, die im Zeitpunkt der Straftat bestehen muss. Dieses Erfordernis gilt erst recht für die Übernahme weiterer Kosten nach Art. 3 Abs. 4 OHG , welche sachlich zum Schaden gehören, der nach der schweizerischen Rechtsordnung vom Täter gemäss Art. 41 OR zu ersetzen ist und unter den einschränkenden Voraussetzungen gemäss BGE 126 II 228 S. 237 Art. 11 ff. OHG Gegenstand der Entschädigung bilden kann (s. vorne E. 2c/bb).</w:t>
      </w:r>
    </w:p>
    <w:p>
      <w:r>
        <w:rPr>
          <w:b/>
        </w:rPr>
        <w:t>E. 3</w:t>
      </w:r>
    </w:p>
    <w:p>
      <w:r>
        <w:t>Der Beschwerdeführer hatte im Zeitpunkt, als er Opfer der Straftaten im Ausland wurde, aus denen er die erhebliche Beeinträchtigung seiner Integrität ableitet, keinerlei persönliche Beziehungen zur Schweiz. Dass er im Anschluss an die im Ausland erlittenen Integritätsschäden Beziehungen zur Schweiz aufnahm, vermag die für die Inanspruchnahme kantonaler Opferhilfe erforderliche persönliche Beziehung zur Schweiz im Zeitpunkt der Straftat nicht zu ersetzen. Die Vorinstanz hat daher zutreffend erkannt, dass der Beschwerdeführer gestützt auf das Opferhilfegesetz keine Hilfe beanspruchen kann und die kantonalen Beratungsstellen insbesondere nicht zur Leistung von Schadenersatz im Sinne von Art. 3 Abs. 4 OHG verpflichtet sind. Ob der Beschwerdeführer gestützt auf andere gesetzliche Grundlagen, insbesondere die Asylgesetzgebung, Hilfe zur Überwindung seiner traumatischen Kriegserlebnisse und Folterfolgen beanspruchen kann, ist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